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1339" w:rsidRDefault="00AF1339" w:rsidP="00AF1339">
      <w:pPr>
        <w:rPr>
          <w:rFonts w:ascii="宋体" w:hAnsi="宋体" w:cs="宋体" w:hint="eastAsia"/>
          <w:bCs/>
          <w:sz w:val="28"/>
          <w:szCs w:val="28"/>
        </w:rPr>
      </w:pPr>
    </w:p>
    <w:p w:rsidR="00AF1339" w:rsidRDefault="00AF1339" w:rsidP="00AF1339">
      <w:pPr>
        <w:rPr>
          <w:rFonts w:ascii="宋体" w:hAnsi="宋体" w:cs="宋体" w:hint="eastAsia"/>
          <w:bCs/>
          <w:sz w:val="28"/>
          <w:szCs w:val="28"/>
        </w:rPr>
      </w:pPr>
      <w:r>
        <w:rPr>
          <w:rFonts w:ascii="宋体" w:hAnsi="宋体" w:cs="宋体" w:hint="eastAsia"/>
          <w:bCs/>
          <w:sz w:val="28"/>
          <w:szCs w:val="28"/>
        </w:rPr>
        <w:t>1：更正前：原综合评分明细表</w:t>
      </w:r>
    </w:p>
    <w:tbl>
      <w:tblPr>
        <w:tblpPr w:leftFromText="180" w:rightFromText="180" w:vertAnchor="text" w:horzAnchor="page" w:tblpX="1620" w:tblpY="6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5"/>
        <w:gridCol w:w="2885"/>
        <w:gridCol w:w="4713"/>
        <w:gridCol w:w="705"/>
      </w:tblGrid>
      <w:tr w:rsidR="00AF1339" w:rsidTr="00AA7B74">
        <w:trPr>
          <w:trHeight w:val="599"/>
        </w:trPr>
        <w:tc>
          <w:tcPr>
            <w:tcW w:w="725" w:type="dxa"/>
            <w:tcBorders>
              <w:top w:val="single" w:sz="4" w:space="0" w:color="auto"/>
              <w:left w:val="single" w:sz="4" w:space="0" w:color="auto"/>
              <w:bottom w:val="single" w:sz="4" w:space="0" w:color="auto"/>
              <w:right w:val="single" w:sz="4" w:space="0" w:color="auto"/>
            </w:tcBorders>
            <w:shd w:val="clear" w:color="auto" w:fill="F3F3F3"/>
            <w:vAlign w:val="center"/>
          </w:tcPr>
          <w:p w:rsidR="00AF1339" w:rsidRDefault="00AF1339" w:rsidP="00AA7B74">
            <w:pPr>
              <w:jc w:val="center"/>
              <w:rPr>
                <w:rFonts w:ascii="仿宋" w:eastAsia="仿宋" w:hAnsi="仿宋" w:hint="eastAsia"/>
                <w:b/>
                <w:bCs/>
                <w:color w:val="000000"/>
                <w:sz w:val="24"/>
              </w:rPr>
            </w:pPr>
            <w:r>
              <w:rPr>
                <w:rFonts w:ascii="仿宋" w:eastAsia="仿宋" w:hAnsi="仿宋" w:hint="eastAsia"/>
                <w:b/>
                <w:bCs/>
                <w:color w:val="000000"/>
                <w:sz w:val="24"/>
              </w:rPr>
              <w:t>序号</w:t>
            </w:r>
          </w:p>
        </w:tc>
        <w:tc>
          <w:tcPr>
            <w:tcW w:w="759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AF1339" w:rsidRDefault="00AF1339" w:rsidP="00AA7B74">
            <w:pPr>
              <w:jc w:val="center"/>
              <w:rPr>
                <w:rFonts w:ascii="仿宋" w:eastAsia="仿宋" w:hAnsi="仿宋" w:hint="eastAsia"/>
                <w:bCs/>
                <w:color w:val="000000"/>
                <w:sz w:val="24"/>
              </w:rPr>
            </w:pPr>
            <w:r>
              <w:rPr>
                <w:rFonts w:ascii="仿宋" w:eastAsia="仿宋" w:hAnsi="仿宋" w:hint="eastAsia"/>
                <w:bCs/>
                <w:color w:val="000000"/>
                <w:sz w:val="24"/>
              </w:rPr>
              <w:t>（一）商务部分（原件备查）</w:t>
            </w:r>
          </w:p>
        </w:tc>
        <w:tc>
          <w:tcPr>
            <w:tcW w:w="705" w:type="dxa"/>
            <w:tcBorders>
              <w:top w:val="single" w:sz="4" w:space="0" w:color="auto"/>
              <w:left w:val="single" w:sz="4" w:space="0" w:color="auto"/>
              <w:bottom w:val="single" w:sz="4" w:space="0" w:color="auto"/>
              <w:right w:val="single" w:sz="4" w:space="0" w:color="auto"/>
            </w:tcBorders>
            <w:shd w:val="clear" w:color="auto" w:fill="F3F3F3"/>
            <w:vAlign w:val="center"/>
          </w:tcPr>
          <w:p w:rsidR="00AF1339" w:rsidRDefault="00AF1339" w:rsidP="00AA7B74">
            <w:pPr>
              <w:jc w:val="center"/>
              <w:rPr>
                <w:rFonts w:ascii="仿宋" w:eastAsia="仿宋" w:hAnsi="仿宋" w:hint="eastAsia"/>
                <w:b/>
                <w:bCs/>
                <w:color w:val="000000"/>
                <w:sz w:val="24"/>
              </w:rPr>
            </w:pPr>
            <w:r>
              <w:rPr>
                <w:rFonts w:ascii="仿宋" w:eastAsia="仿宋" w:hAnsi="仿宋" w:hint="eastAsia"/>
                <w:b/>
                <w:bCs/>
                <w:color w:val="000000"/>
                <w:sz w:val="24"/>
              </w:rPr>
              <w:t>分值</w:t>
            </w:r>
          </w:p>
        </w:tc>
      </w:tr>
      <w:tr w:rsidR="00AF1339" w:rsidTr="00AA7B74">
        <w:trPr>
          <w:trHeight w:val="1630"/>
        </w:trPr>
        <w:tc>
          <w:tcPr>
            <w:tcW w:w="725" w:type="dxa"/>
            <w:tcBorders>
              <w:top w:val="single" w:sz="4" w:space="0" w:color="auto"/>
              <w:left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1</w:t>
            </w:r>
          </w:p>
        </w:tc>
        <w:tc>
          <w:tcPr>
            <w:tcW w:w="2885" w:type="dxa"/>
            <w:tcBorders>
              <w:top w:val="single" w:sz="4" w:space="0" w:color="auto"/>
              <w:left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资质.资信</w:t>
            </w:r>
          </w:p>
        </w:tc>
        <w:tc>
          <w:tcPr>
            <w:tcW w:w="4713" w:type="dxa"/>
            <w:tcBorders>
              <w:top w:val="single" w:sz="4" w:space="0" w:color="auto"/>
              <w:left w:val="single" w:sz="4" w:space="0" w:color="auto"/>
              <w:right w:val="single" w:sz="4" w:space="0" w:color="auto"/>
            </w:tcBorders>
            <w:vAlign w:val="center"/>
          </w:tcPr>
          <w:p w:rsidR="00AF1339" w:rsidRDefault="00AF1339" w:rsidP="00AA7B74">
            <w:pPr>
              <w:jc w:val="left"/>
              <w:rPr>
                <w:rFonts w:ascii="仿宋" w:eastAsia="仿宋" w:hAnsi="仿宋" w:hint="eastAsia"/>
                <w:color w:val="000000"/>
                <w:sz w:val="24"/>
              </w:rPr>
            </w:pPr>
            <w:r>
              <w:rPr>
                <w:rFonts w:ascii="仿宋" w:eastAsia="仿宋" w:hAnsi="仿宋" w:hint="eastAsia"/>
                <w:color w:val="000000"/>
                <w:sz w:val="24"/>
              </w:rPr>
              <w:t>1.ISO9001质量管理体系认证证明；</w:t>
            </w:r>
          </w:p>
          <w:p w:rsidR="00AF1339" w:rsidRDefault="00AF1339" w:rsidP="00AA7B74">
            <w:pPr>
              <w:jc w:val="left"/>
              <w:rPr>
                <w:rFonts w:ascii="仿宋" w:eastAsia="仿宋" w:hAnsi="仿宋" w:hint="eastAsia"/>
                <w:color w:val="000000"/>
                <w:sz w:val="24"/>
              </w:rPr>
            </w:pPr>
            <w:r>
              <w:rPr>
                <w:rFonts w:ascii="仿宋" w:eastAsia="仿宋" w:hAnsi="仿宋" w:hint="eastAsia"/>
                <w:color w:val="000000"/>
                <w:sz w:val="24"/>
              </w:rPr>
              <w:t>2.ISO14001环境管理体系认证证明；</w:t>
            </w:r>
          </w:p>
          <w:p w:rsidR="00AF1339" w:rsidRDefault="00AF1339" w:rsidP="00AA7B74">
            <w:pPr>
              <w:rPr>
                <w:rFonts w:ascii="仿宋" w:eastAsia="仿宋" w:hAnsi="仿宋" w:hint="eastAsia"/>
                <w:color w:val="000000"/>
                <w:sz w:val="24"/>
              </w:rPr>
            </w:pPr>
            <w:r>
              <w:rPr>
                <w:rFonts w:ascii="仿宋" w:eastAsia="仿宋" w:hAnsi="仿宋" w:hint="eastAsia"/>
                <w:color w:val="000000"/>
                <w:sz w:val="24"/>
              </w:rPr>
              <w:t>3.OHSASI8001职业健康安全管理认证证明；</w:t>
            </w:r>
          </w:p>
          <w:p w:rsidR="00AF1339" w:rsidRDefault="00AF1339" w:rsidP="00AA7B74">
            <w:pPr>
              <w:rPr>
                <w:rFonts w:ascii="仿宋" w:eastAsia="仿宋" w:hAnsi="仿宋" w:hint="eastAsia"/>
                <w:color w:val="000000"/>
                <w:sz w:val="24"/>
              </w:rPr>
            </w:pPr>
            <w:r>
              <w:rPr>
                <w:rFonts w:ascii="仿宋" w:eastAsia="仿宋" w:hAnsi="仿宋" w:hint="eastAsia"/>
                <w:color w:val="000000"/>
                <w:sz w:val="24"/>
              </w:rPr>
              <w:t>4.具备AAA级信用等级证书。</w:t>
            </w:r>
          </w:p>
          <w:p w:rsidR="00AF1339" w:rsidRDefault="00AF1339" w:rsidP="00AA7B74">
            <w:pPr>
              <w:rPr>
                <w:rFonts w:ascii="仿宋" w:eastAsia="仿宋" w:hAnsi="仿宋" w:hint="eastAsia"/>
                <w:color w:val="000000"/>
                <w:sz w:val="24"/>
              </w:rPr>
            </w:pPr>
            <w:r>
              <w:rPr>
                <w:rFonts w:ascii="仿宋" w:eastAsia="仿宋" w:hAnsi="仿宋" w:hint="eastAsia"/>
                <w:color w:val="000000"/>
                <w:sz w:val="24"/>
              </w:rPr>
              <w:t>（每提供一项证明材料得2.5分，不提供不得分）</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10</w:t>
            </w:r>
          </w:p>
        </w:tc>
      </w:tr>
      <w:tr w:rsidR="00AF1339" w:rsidTr="00AA7B74">
        <w:trPr>
          <w:trHeight w:val="658"/>
        </w:trPr>
        <w:tc>
          <w:tcPr>
            <w:tcW w:w="72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2</w:t>
            </w:r>
          </w:p>
        </w:tc>
        <w:tc>
          <w:tcPr>
            <w:tcW w:w="288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企业负债情况</w:t>
            </w:r>
          </w:p>
        </w:tc>
        <w:tc>
          <w:tcPr>
            <w:tcW w:w="4713"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1.投标人或其服装制造商提供近2年财务审计报告书,负债的不得分。</w:t>
            </w:r>
          </w:p>
          <w:p w:rsidR="00AF1339" w:rsidRDefault="00AF1339" w:rsidP="00AA7B74">
            <w:pPr>
              <w:rPr>
                <w:rFonts w:ascii="仿宋" w:eastAsia="仿宋" w:hAnsi="仿宋" w:hint="eastAsia"/>
                <w:color w:val="000000"/>
                <w:sz w:val="24"/>
              </w:rPr>
            </w:pPr>
            <w:r>
              <w:rPr>
                <w:rFonts w:ascii="仿宋" w:eastAsia="仿宋" w:hAnsi="仿宋" w:hint="eastAsia"/>
                <w:color w:val="000000"/>
                <w:sz w:val="24"/>
              </w:rPr>
              <w:t>2.本年度新成立或成立不满一年的组织和自然人无法提供财务状况报告（表）的，可提供银行出具的资信证明复印件。</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2</w:t>
            </w:r>
          </w:p>
        </w:tc>
      </w:tr>
      <w:tr w:rsidR="00AF1339" w:rsidTr="00AA7B74">
        <w:trPr>
          <w:trHeight w:val="710"/>
        </w:trPr>
        <w:tc>
          <w:tcPr>
            <w:tcW w:w="72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3</w:t>
            </w:r>
          </w:p>
        </w:tc>
        <w:tc>
          <w:tcPr>
            <w:tcW w:w="288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标书编制及响应标书情况</w:t>
            </w:r>
          </w:p>
        </w:tc>
        <w:tc>
          <w:tcPr>
            <w:tcW w:w="4713"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投标文件的完整性、合理性及对招标文件的响应程度。</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3</w:t>
            </w:r>
          </w:p>
        </w:tc>
      </w:tr>
      <w:tr w:rsidR="00AF1339" w:rsidTr="00AA7B74">
        <w:trPr>
          <w:trHeight w:val="599"/>
        </w:trPr>
        <w:tc>
          <w:tcPr>
            <w:tcW w:w="8323" w:type="dxa"/>
            <w:gridSpan w:val="3"/>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商务部分总分合计：</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color w:val="000000"/>
                <w:sz w:val="24"/>
              </w:rPr>
            </w:pPr>
            <w:r>
              <w:rPr>
                <w:rFonts w:ascii="仿宋" w:eastAsia="仿宋" w:hAnsi="仿宋" w:hint="eastAsia"/>
                <w:color w:val="000000"/>
                <w:sz w:val="24"/>
              </w:rPr>
              <w:t>15</w:t>
            </w:r>
          </w:p>
        </w:tc>
      </w:tr>
      <w:tr w:rsidR="00AF1339" w:rsidTr="00AA7B74">
        <w:trPr>
          <w:trHeight w:val="599"/>
        </w:trPr>
        <w:tc>
          <w:tcPr>
            <w:tcW w:w="725" w:type="dxa"/>
            <w:tcBorders>
              <w:top w:val="single" w:sz="4" w:space="0" w:color="auto"/>
              <w:left w:val="single" w:sz="4" w:space="0" w:color="auto"/>
              <w:bottom w:val="single" w:sz="4" w:space="0" w:color="auto"/>
              <w:right w:val="single" w:sz="4" w:space="0" w:color="auto"/>
            </w:tcBorders>
            <w:shd w:val="clear" w:color="auto" w:fill="F3F3F3"/>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序号</w:t>
            </w:r>
          </w:p>
        </w:tc>
        <w:tc>
          <w:tcPr>
            <w:tcW w:w="7598" w:type="dxa"/>
            <w:gridSpan w:val="2"/>
            <w:tcBorders>
              <w:top w:val="single" w:sz="4" w:space="0" w:color="auto"/>
              <w:left w:val="single" w:sz="4" w:space="0" w:color="auto"/>
              <w:bottom w:val="single" w:sz="4" w:space="0" w:color="auto"/>
              <w:right w:val="single" w:sz="4" w:space="0" w:color="auto"/>
            </w:tcBorders>
            <w:shd w:val="clear" w:color="auto" w:fill="F3F3F3"/>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（二）技术部分</w:t>
            </w:r>
          </w:p>
        </w:tc>
        <w:tc>
          <w:tcPr>
            <w:tcW w:w="705" w:type="dxa"/>
            <w:tcBorders>
              <w:top w:val="single" w:sz="4" w:space="0" w:color="auto"/>
              <w:left w:val="single" w:sz="4" w:space="0" w:color="auto"/>
              <w:bottom w:val="single" w:sz="4" w:space="0" w:color="auto"/>
              <w:right w:val="single" w:sz="4" w:space="0" w:color="auto"/>
            </w:tcBorders>
            <w:shd w:val="clear" w:color="auto" w:fill="F3F3F3"/>
            <w:vAlign w:val="center"/>
          </w:tcPr>
          <w:p w:rsidR="00AF1339" w:rsidRDefault="00AF1339" w:rsidP="00AA7B74">
            <w:pPr>
              <w:jc w:val="center"/>
              <w:rPr>
                <w:rFonts w:ascii="仿宋" w:eastAsia="仿宋" w:hAnsi="仿宋" w:hint="eastAsia"/>
                <w:b/>
                <w:bCs/>
                <w:color w:val="000000"/>
                <w:sz w:val="24"/>
              </w:rPr>
            </w:pPr>
            <w:r>
              <w:rPr>
                <w:rFonts w:ascii="仿宋" w:eastAsia="仿宋" w:hAnsi="仿宋" w:hint="eastAsia"/>
                <w:b/>
                <w:bCs/>
                <w:color w:val="000000"/>
                <w:sz w:val="24"/>
              </w:rPr>
              <w:t>分值</w:t>
            </w:r>
          </w:p>
        </w:tc>
      </w:tr>
      <w:tr w:rsidR="00AF1339" w:rsidTr="00AA7B74">
        <w:trPr>
          <w:trHeight w:val="1630"/>
        </w:trPr>
        <w:tc>
          <w:tcPr>
            <w:tcW w:w="72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1</w:t>
            </w:r>
          </w:p>
        </w:tc>
        <w:tc>
          <w:tcPr>
            <w:tcW w:w="288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投标产品样品的质量水平</w:t>
            </w:r>
          </w:p>
        </w:tc>
        <w:tc>
          <w:tcPr>
            <w:tcW w:w="4713"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根据供应商提供的样品的材质、制作工艺、样式的科学性、合理性和质量进行综合打分，优的得16－22分，良的得9－15分，一般的得3－10分，差的不得分。</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22</w:t>
            </w:r>
          </w:p>
        </w:tc>
      </w:tr>
      <w:tr w:rsidR="00AF1339" w:rsidTr="00AA7B74">
        <w:trPr>
          <w:trHeight w:val="1481"/>
        </w:trPr>
        <w:tc>
          <w:tcPr>
            <w:tcW w:w="72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2</w:t>
            </w:r>
          </w:p>
        </w:tc>
        <w:tc>
          <w:tcPr>
            <w:tcW w:w="288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售后服务</w:t>
            </w:r>
          </w:p>
        </w:tc>
        <w:tc>
          <w:tcPr>
            <w:tcW w:w="4713"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根据售后服务采取的措施、计划及投标人所能提供的增值服务的科学性、合理性和可操作性进行综合打分，优的得8－10分，良的得5－7分，一般的得2－4分，差的不得分。</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b/>
                <w:bCs/>
                <w:color w:val="000000"/>
                <w:sz w:val="24"/>
              </w:rPr>
            </w:pPr>
            <w:r>
              <w:rPr>
                <w:rFonts w:ascii="仿宋" w:eastAsia="仿宋" w:hAnsi="仿宋" w:hint="eastAsia"/>
                <w:color w:val="000000"/>
                <w:sz w:val="24"/>
              </w:rPr>
              <w:t>10</w:t>
            </w:r>
          </w:p>
        </w:tc>
      </w:tr>
      <w:tr w:rsidR="00AF1339" w:rsidTr="00AA7B74">
        <w:trPr>
          <w:trHeight w:val="1622"/>
        </w:trPr>
        <w:tc>
          <w:tcPr>
            <w:tcW w:w="72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3</w:t>
            </w:r>
          </w:p>
        </w:tc>
        <w:tc>
          <w:tcPr>
            <w:tcW w:w="288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供货措施</w:t>
            </w:r>
          </w:p>
        </w:tc>
        <w:tc>
          <w:tcPr>
            <w:tcW w:w="4713"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根据供应商提供的服装按时到货保证措施、计划的科学性、合理性和可操作性进行综合打分，优的得4－5分，良的得2－3分，一般的得1分，差的不得分。</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5</w:t>
            </w:r>
          </w:p>
        </w:tc>
      </w:tr>
      <w:tr w:rsidR="00AF1339" w:rsidTr="00AA7B74">
        <w:trPr>
          <w:trHeight w:val="2004"/>
        </w:trPr>
        <w:tc>
          <w:tcPr>
            <w:tcW w:w="72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lastRenderedPageBreak/>
              <w:t>4</w:t>
            </w:r>
          </w:p>
        </w:tc>
        <w:tc>
          <w:tcPr>
            <w:tcW w:w="288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厂家生产规模.技术水平.装备能力</w:t>
            </w:r>
          </w:p>
        </w:tc>
        <w:tc>
          <w:tcPr>
            <w:tcW w:w="4713"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根据供应商提供的有生产工厂、具备生产能力、生产条件、设备情况等相关材料、照片等影像资料，并有安全生产标准化企业证明（中标后现场审查）的科学性、合理性和可操作性进行综合打分，优的得4－5分，良的得2－3分，一般的得1分，差的不得分。</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5</w:t>
            </w:r>
          </w:p>
        </w:tc>
      </w:tr>
      <w:tr w:rsidR="00AF1339" w:rsidTr="00AA7B74">
        <w:trPr>
          <w:trHeight w:val="1122"/>
        </w:trPr>
        <w:tc>
          <w:tcPr>
            <w:tcW w:w="72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5</w:t>
            </w:r>
          </w:p>
        </w:tc>
        <w:tc>
          <w:tcPr>
            <w:tcW w:w="288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技术参数</w:t>
            </w:r>
          </w:p>
        </w:tc>
        <w:tc>
          <w:tcPr>
            <w:tcW w:w="4713"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须提供省级检验部门合格的检验报告（原件备查），主要技术参数应符合招标文件(6.7新生军训服装项目需求明细表）。</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3</w:t>
            </w:r>
          </w:p>
        </w:tc>
      </w:tr>
      <w:tr w:rsidR="00AF1339" w:rsidTr="00AA7B74">
        <w:trPr>
          <w:trHeight w:val="599"/>
        </w:trPr>
        <w:tc>
          <w:tcPr>
            <w:tcW w:w="8323" w:type="dxa"/>
            <w:gridSpan w:val="3"/>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技术部分总分合计：</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color w:val="000000"/>
                <w:sz w:val="24"/>
              </w:rPr>
            </w:pPr>
            <w:r>
              <w:rPr>
                <w:rFonts w:ascii="仿宋" w:eastAsia="仿宋" w:hAnsi="仿宋" w:hint="eastAsia"/>
                <w:color w:val="000000"/>
                <w:sz w:val="24"/>
              </w:rPr>
              <w:t>45</w:t>
            </w:r>
          </w:p>
        </w:tc>
      </w:tr>
      <w:tr w:rsidR="00AF1339" w:rsidTr="00AA7B74">
        <w:trPr>
          <w:trHeight w:val="599"/>
        </w:trPr>
        <w:tc>
          <w:tcPr>
            <w:tcW w:w="8323"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（三）经济部分</w:t>
            </w:r>
          </w:p>
        </w:tc>
        <w:tc>
          <w:tcPr>
            <w:tcW w:w="705" w:type="dxa"/>
            <w:tcBorders>
              <w:top w:val="single" w:sz="4" w:space="0" w:color="auto"/>
              <w:left w:val="single" w:sz="4" w:space="0" w:color="auto"/>
              <w:bottom w:val="single" w:sz="4" w:space="0" w:color="auto"/>
              <w:right w:val="single" w:sz="4" w:space="0" w:color="auto"/>
            </w:tcBorders>
            <w:shd w:val="clear" w:color="auto" w:fill="F3F3F3"/>
            <w:vAlign w:val="center"/>
          </w:tcPr>
          <w:p w:rsidR="00AF1339" w:rsidRDefault="00AF1339" w:rsidP="00AA7B74">
            <w:pPr>
              <w:jc w:val="center"/>
              <w:rPr>
                <w:rFonts w:ascii="仿宋" w:eastAsia="仿宋" w:hAnsi="仿宋" w:hint="eastAsia"/>
                <w:b/>
                <w:bCs/>
                <w:color w:val="000000"/>
                <w:sz w:val="24"/>
              </w:rPr>
            </w:pPr>
            <w:r>
              <w:rPr>
                <w:rFonts w:ascii="仿宋" w:eastAsia="仿宋" w:hAnsi="仿宋" w:hint="eastAsia"/>
                <w:b/>
                <w:bCs/>
                <w:color w:val="000000"/>
                <w:sz w:val="24"/>
              </w:rPr>
              <w:t>分值</w:t>
            </w:r>
          </w:p>
        </w:tc>
      </w:tr>
      <w:tr w:rsidR="00AF1339" w:rsidTr="00AA7B74">
        <w:trPr>
          <w:trHeight w:val="1065"/>
        </w:trPr>
        <w:tc>
          <w:tcPr>
            <w:tcW w:w="8323" w:type="dxa"/>
            <w:gridSpan w:val="3"/>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color w:val="000000"/>
                <w:sz w:val="24"/>
              </w:rPr>
              <w:t>满足招标文件要求的所有有效报价的平均报价为评标基准价,其价格分为满分40分，低于基准价的有效报价为满分40分；高于基准价的投标人公式计算：价格分=(评标基准价／投标报价)×40。</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40</w:t>
            </w:r>
          </w:p>
        </w:tc>
      </w:tr>
      <w:tr w:rsidR="00AF1339" w:rsidTr="00AA7B74">
        <w:trPr>
          <w:trHeight w:val="750"/>
        </w:trPr>
        <w:tc>
          <w:tcPr>
            <w:tcW w:w="8323" w:type="dxa"/>
            <w:gridSpan w:val="3"/>
            <w:tcBorders>
              <w:top w:val="single" w:sz="4" w:space="0" w:color="auto"/>
              <w:left w:val="single" w:sz="4" w:space="0" w:color="auto"/>
              <w:bottom w:val="single" w:sz="4" w:space="0" w:color="auto"/>
              <w:right w:val="single" w:sz="4" w:space="0" w:color="auto"/>
            </w:tcBorders>
            <w:vAlign w:val="center"/>
          </w:tcPr>
          <w:p w:rsidR="00AF1339" w:rsidRDefault="00AF1339" w:rsidP="00AA7B74">
            <w:pPr>
              <w:rPr>
                <w:rFonts w:ascii="仿宋" w:eastAsia="仿宋" w:hAnsi="仿宋" w:hint="eastAsia"/>
                <w:color w:val="000000"/>
                <w:sz w:val="24"/>
              </w:rPr>
            </w:pPr>
            <w:r>
              <w:rPr>
                <w:rFonts w:ascii="仿宋" w:eastAsia="仿宋" w:hAnsi="仿宋" w:hint="eastAsia"/>
                <w:b/>
                <w:bCs/>
                <w:color w:val="000000"/>
                <w:sz w:val="24"/>
              </w:rPr>
              <w:t>经济部分总分合计</w:t>
            </w:r>
            <w:r>
              <w:rPr>
                <w:rFonts w:ascii="仿宋" w:eastAsia="仿宋" w:hAnsi="仿宋" w:hint="eastAsia"/>
                <w:color w:val="000000"/>
                <w:sz w:val="24"/>
              </w:rPr>
              <w:t>：</w:t>
            </w:r>
          </w:p>
        </w:tc>
        <w:tc>
          <w:tcPr>
            <w:tcW w:w="705" w:type="dxa"/>
            <w:tcBorders>
              <w:top w:val="single" w:sz="4" w:space="0" w:color="auto"/>
              <w:left w:val="single" w:sz="4" w:space="0" w:color="auto"/>
              <w:bottom w:val="single" w:sz="4" w:space="0" w:color="auto"/>
              <w:right w:val="single" w:sz="4" w:space="0" w:color="auto"/>
            </w:tcBorders>
            <w:vAlign w:val="center"/>
          </w:tcPr>
          <w:p w:rsidR="00AF1339" w:rsidRDefault="00AF1339" w:rsidP="00AA7B74">
            <w:pPr>
              <w:jc w:val="center"/>
              <w:rPr>
                <w:rFonts w:ascii="仿宋" w:eastAsia="仿宋" w:hAnsi="仿宋" w:hint="eastAsia"/>
                <w:color w:val="000000"/>
                <w:sz w:val="24"/>
              </w:rPr>
            </w:pPr>
            <w:r>
              <w:rPr>
                <w:rFonts w:ascii="仿宋" w:eastAsia="仿宋" w:hAnsi="仿宋" w:hint="eastAsia"/>
                <w:color w:val="000000"/>
                <w:sz w:val="24"/>
              </w:rPr>
              <w:t>40</w:t>
            </w:r>
          </w:p>
        </w:tc>
      </w:tr>
    </w:tbl>
    <w:p w:rsidR="00921633" w:rsidRDefault="00AF1339" w:rsidP="00AF1339"/>
    <w:sectPr w:rsidR="00921633">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F114C50"/>
    <w:multiLevelType w:val="singleLevel"/>
    <w:tmpl w:val="BF114C50"/>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39"/>
    <w:rsid w:val="0070404D"/>
    <w:rsid w:val="0097283C"/>
    <w:rsid w:val="00AF1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7E9D96C"/>
  <w15:chartTrackingRefBased/>
  <w15:docId w15:val="{81475405-4E1B-DF46-B0BB-311FA84F8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F133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AF1339"/>
    <w:pPr>
      <w:spacing w:after="120"/>
      <w:ind w:leftChars="200" w:left="420"/>
    </w:pPr>
  </w:style>
  <w:style w:type="character" w:customStyle="1" w:styleId="a4">
    <w:name w:val="正文文本缩进 字符"/>
    <w:basedOn w:val="a0"/>
    <w:link w:val="a3"/>
    <w:uiPriority w:val="99"/>
    <w:semiHidden/>
    <w:rsid w:val="00AF1339"/>
    <w:rPr>
      <w:rFonts w:ascii="Calibri" w:eastAsia="宋体" w:hAnsi="Calibri" w:cs="Times New Roman"/>
    </w:rPr>
  </w:style>
  <w:style w:type="paragraph" w:styleId="2">
    <w:name w:val="Body Text First Indent 2"/>
    <w:basedOn w:val="a3"/>
    <w:link w:val="20"/>
    <w:rsid w:val="00AF1339"/>
    <w:pPr>
      <w:ind w:firstLineChars="200" w:firstLine="420"/>
    </w:pPr>
  </w:style>
  <w:style w:type="character" w:customStyle="1" w:styleId="20">
    <w:name w:val="正文文本首行缩进 2 字符"/>
    <w:basedOn w:val="a4"/>
    <w:link w:val="2"/>
    <w:rsid w:val="00AF1339"/>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139</Words>
  <Characters>793</Characters>
  <Application>Microsoft Office Word</Application>
  <DocSecurity>0</DocSecurity>
  <Lines>6</Lines>
  <Paragraphs>1</Paragraphs>
  <ScaleCrop>false</ScaleCrop>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2020-08-22T08:22:00Z</dcterms:created>
  <dcterms:modified xsi:type="dcterms:W3CDTF">2020-08-22T08:24:00Z</dcterms:modified>
</cp:coreProperties>
</file>