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Cs/>
          <w:kern w:val="0"/>
          <w:sz w:val="44"/>
          <w:szCs w:val="44"/>
          <w:lang w:val="en-US" w:eastAsia="zh-CN"/>
        </w:rPr>
      </w:pPr>
      <w:r>
        <w:rPr>
          <w:rFonts w:hint="eastAsia" w:ascii="方正小标宋_GBK" w:hAnsi="方正小标宋_GBK" w:eastAsia="方正小标宋_GBK" w:cs="方正小标宋_GBK"/>
          <w:bCs/>
          <w:kern w:val="0"/>
          <w:sz w:val="44"/>
          <w:szCs w:val="44"/>
          <w:lang w:val="en-US" w:eastAsia="zh-CN"/>
        </w:rPr>
        <w:t>广安职业技术学院资产经营有限公司招聘岗位一览表</w:t>
      </w:r>
    </w:p>
    <w:p>
      <w:pPr>
        <w:spacing w:line="600" w:lineRule="exact"/>
        <w:jc w:val="center"/>
        <w:rPr>
          <w:rFonts w:hint="eastAsia" w:ascii="Times New Roman" w:hAnsi="Times New Roman" w:eastAsia="方正小标宋简体"/>
          <w:bCs/>
          <w:kern w:val="0"/>
          <w:sz w:val="30"/>
          <w:szCs w:val="30"/>
          <w:lang w:val="en-US" w:eastAsia="zh-CN"/>
        </w:rPr>
      </w:pPr>
    </w:p>
    <w:tbl>
      <w:tblPr>
        <w:tblStyle w:val="3"/>
        <w:tblW w:w="1545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
      <w:tblGrid>
        <w:gridCol w:w="410"/>
        <w:gridCol w:w="1776"/>
        <w:gridCol w:w="486"/>
        <w:gridCol w:w="819"/>
        <w:gridCol w:w="840"/>
        <w:gridCol w:w="1080"/>
        <w:gridCol w:w="825"/>
        <w:gridCol w:w="8101"/>
        <w:gridCol w:w="111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10" w:type="dxa"/>
            <w:tcBorders>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序号</w:t>
            </w:r>
          </w:p>
        </w:tc>
        <w:tc>
          <w:tcPr>
            <w:tcW w:w="1776" w:type="dxa"/>
            <w:tcBorders>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招聘部门/单位</w:t>
            </w:r>
          </w:p>
        </w:tc>
        <w:tc>
          <w:tcPr>
            <w:tcW w:w="486" w:type="dxa"/>
            <w:tcBorders>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人数</w:t>
            </w:r>
          </w:p>
        </w:tc>
        <w:tc>
          <w:tcPr>
            <w:tcW w:w="819" w:type="dxa"/>
            <w:tcBorders>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岗位</w:t>
            </w:r>
          </w:p>
        </w:tc>
        <w:tc>
          <w:tcPr>
            <w:tcW w:w="840" w:type="dxa"/>
            <w:tcBorders>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学历</w:t>
            </w:r>
          </w:p>
        </w:tc>
        <w:tc>
          <w:tcPr>
            <w:tcW w:w="1080" w:type="dxa"/>
            <w:tcBorders>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专业</w:t>
            </w:r>
          </w:p>
        </w:tc>
        <w:tc>
          <w:tcPr>
            <w:tcW w:w="825" w:type="dxa"/>
            <w:tcBorders>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年龄</w:t>
            </w:r>
          </w:p>
        </w:tc>
        <w:tc>
          <w:tcPr>
            <w:tcW w:w="8101" w:type="dxa"/>
            <w:tcBorders>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基本条件</w:t>
            </w:r>
          </w:p>
        </w:tc>
        <w:tc>
          <w:tcPr>
            <w:tcW w:w="1118" w:type="dxa"/>
            <w:tcBorders>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招聘方式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广安职业技术学院资产经营有限公司财务部</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财务部负责人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大学本科以上文化程度或相关专业</w:t>
            </w:r>
          </w:p>
          <w:p>
            <w:pPr>
              <w:numPr>
                <w:ilvl w:val="0"/>
                <w:numId w:val="0"/>
              </w:numPr>
              <w:ind w:left="0" w:leftChars="0" w:firstLine="0" w:firstLineChar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中级以上职称</w:t>
            </w:r>
            <w:bookmarkStart w:id="0" w:name="_GoBack"/>
            <w:bookmarkEnd w:id="0"/>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会计专业</w:t>
            </w:r>
          </w:p>
        </w:tc>
        <w:tc>
          <w:tcPr>
            <w:tcW w:w="825"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28岁至45岁</w:t>
            </w:r>
          </w:p>
        </w:tc>
        <w:tc>
          <w:tcPr>
            <w:tcW w:w="8101" w:type="dxa"/>
            <w:tcBorders>
              <w:top w:val="single" w:color="000000" w:sz="4" w:space="0"/>
              <w:left w:val="single" w:color="000000" w:sz="4" w:space="0"/>
              <w:bottom w:val="single" w:color="000000" w:sz="4" w:space="0"/>
            </w:tcBorders>
            <w:shd w:val="clear" w:color="auto" w:fill="auto"/>
            <w:vAlign w:val="center"/>
          </w:tcPr>
          <w:p>
            <w:pPr>
              <w:numPr>
                <w:ilvl w:val="0"/>
                <w:numId w:val="0"/>
              </w:numP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1．根据国家财经政策法规和企业规章制度，组织编写企业财务管理制度、会计核算办法、审计制度，经批准后实施，以保证财务审计工作有章可循，有法可依。</w:t>
            </w:r>
            <w:r>
              <w:rPr>
                <w:rFonts w:hint="eastAsia" w:ascii="宋体" w:hAnsi="宋体" w:cs="宋体"/>
                <w:color w:val="000000"/>
                <w:sz w:val="22"/>
                <w:szCs w:val="22"/>
                <w:lang w:val="en-US" w:eastAsia="zh-CN"/>
              </w:rPr>
              <w:br w:type="textWrapping"/>
            </w:r>
            <w:r>
              <w:rPr>
                <w:rFonts w:hint="eastAsia" w:ascii="宋体" w:hAnsi="宋体" w:cs="宋体"/>
                <w:color w:val="000000"/>
                <w:sz w:val="22"/>
                <w:szCs w:val="22"/>
                <w:lang w:val="en-US" w:eastAsia="zh-CN"/>
              </w:rPr>
              <w:t>2．根据国家财经法规、企业财务制度和会计核算办法，组织会计人员依据原始单据编制会计凭证，办理相关业务。</w:t>
            </w:r>
            <w:r>
              <w:rPr>
                <w:rFonts w:hint="eastAsia" w:ascii="宋体" w:hAnsi="宋体" w:cs="宋体"/>
                <w:color w:val="000000"/>
                <w:sz w:val="22"/>
                <w:szCs w:val="22"/>
                <w:lang w:val="en-US" w:eastAsia="zh-CN"/>
              </w:rPr>
              <w:br w:type="textWrapping"/>
            </w:r>
            <w:r>
              <w:rPr>
                <w:rFonts w:hint="eastAsia" w:ascii="宋体" w:hAnsi="宋体" w:cs="宋体"/>
                <w:color w:val="000000"/>
                <w:sz w:val="22"/>
                <w:szCs w:val="22"/>
                <w:lang w:val="en-US" w:eastAsia="zh-CN"/>
              </w:rPr>
              <w:t>3．审核或审计会计报表，确保真实、准确、及时反映企业经济业务信息，为领导经营决策提供财务依据。</w:t>
            </w:r>
            <w:r>
              <w:rPr>
                <w:rFonts w:hint="eastAsia" w:ascii="宋体" w:hAnsi="宋体" w:cs="宋体"/>
                <w:color w:val="000000"/>
                <w:sz w:val="22"/>
                <w:szCs w:val="22"/>
                <w:lang w:val="en-US" w:eastAsia="zh-CN"/>
              </w:rPr>
              <w:br w:type="textWrapping"/>
            </w:r>
            <w:r>
              <w:rPr>
                <w:rFonts w:hint="eastAsia" w:ascii="宋体" w:hAnsi="宋体" w:cs="宋体"/>
                <w:color w:val="000000"/>
                <w:sz w:val="22"/>
                <w:szCs w:val="22"/>
                <w:lang w:val="en-US" w:eastAsia="zh-CN"/>
              </w:rPr>
              <w:t>4．根据国家财经法规、企业财务制度和企业经营规划，组织编制财务预算，制订财务考核办法，监督检查评估实施效果，提出降本增效措施。</w:t>
            </w:r>
            <w:r>
              <w:rPr>
                <w:rFonts w:hint="eastAsia" w:ascii="宋体" w:hAnsi="宋体" w:cs="宋体"/>
                <w:color w:val="000000"/>
                <w:sz w:val="22"/>
                <w:szCs w:val="22"/>
                <w:lang w:val="en-US" w:eastAsia="zh-CN"/>
              </w:rPr>
              <w:br w:type="textWrapping"/>
            </w:r>
            <w:r>
              <w:rPr>
                <w:rFonts w:hint="eastAsia" w:ascii="宋体" w:hAnsi="宋体" w:cs="宋体"/>
                <w:color w:val="000000"/>
                <w:sz w:val="22"/>
                <w:szCs w:val="22"/>
                <w:lang w:val="en-US" w:eastAsia="zh-CN"/>
              </w:rPr>
              <w:t>5．组织监督控制公司日常支出和在建工程的资金支出情况；组织审核办理物资、资产处置手续；组织工资计发，纳税筹划、财务档案管理工作。</w:t>
            </w:r>
            <w:r>
              <w:rPr>
                <w:rFonts w:hint="eastAsia" w:ascii="宋体" w:hAnsi="宋体" w:cs="宋体"/>
                <w:color w:val="000000"/>
                <w:sz w:val="22"/>
                <w:szCs w:val="22"/>
                <w:lang w:val="en-US" w:eastAsia="zh-CN"/>
              </w:rPr>
              <w:br w:type="textWrapping"/>
            </w:r>
            <w:r>
              <w:rPr>
                <w:rFonts w:hint="eastAsia" w:ascii="宋体" w:hAnsi="宋体" w:cs="宋体"/>
                <w:color w:val="000000"/>
                <w:sz w:val="22"/>
                <w:szCs w:val="22"/>
                <w:lang w:val="en-US" w:eastAsia="zh-CN"/>
              </w:rPr>
              <w:t>6．负责管理下属企业会计核算与财务管理，控制、监督、检查、考核企业经济活动的财务状况，不断提高企业财务管理水平。</w:t>
            </w:r>
            <w:r>
              <w:rPr>
                <w:rFonts w:hint="eastAsia" w:ascii="宋体" w:hAnsi="宋体" w:cs="宋体"/>
                <w:color w:val="000000"/>
                <w:sz w:val="22"/>
                <w:szCs w:val="22"/>
                <w:lang w:val="en-US" w:eastAsia="zh-CN"/>
              </w:rPr>
              <w:br w:type="textWrapping"/>
            </w:r>
            <w:r>
              <w:rPr>
                <w:rFonts w:hint="eastAsia" w:ascii="宋体" w:hAnsi="宋体" w:cs="宋体"/>
                <w:color w:val="000000"/>
                <w:sz w:val="22"/>
                <w:szCs w:val="22"/>
                <w:lang w:val="en-US" w:eastAsia="zh-CN"/>
              </w:rPr>
              <w:t>7．根据公司发展战略和生产经营需要，负责拟定公司资金筹集、使用和管理办法，合理有效地使用资金。</w:t>
            </w:r>
            <w:r>
              <w:rPr>
                <w:rFonts w:hint="eastAsia" w:ascii="宋体" w:hAnsi="宋体" w:cs="宋体"/>
                <w:color w:val="000000"/>
                <w:sz w:val="22"/>
                <w:szCs w:val="22"/>
                <w:lang w:val="en-US" w:eastAsia="zh-CN"/>
              </w:rPr>
              <w:br w:type="textWrapping"/>
            </w:r>
            <w:r>
              <w:rPr>
                <w:rFonts w:hint="eastAsia" w:ascii="宋体" w:hAnsi="宋体" w:cs="宋体"/>
                <w:color w:val="000000"/>
                <w:sz w:val="22"/>
                <w:szCs w:val="22"/>
                <w:lang w:val="en-US" w:eastAsia="zh-CN"/>
              </w:rPr>
              <w:t>8．负责组织对公司全资、控股企业实施内部审计，参与公司对所属企业的业绩考核指标的制订和考核工作。</w:t>
            </w:r>
            <w:r>
              <w:rPr>
                <w:rFonts w:hint="eastAsia" w:ascii="宋体" w:hAnsi="宋体" w:cs="宋体"/>
                <w:color w:val="000000"/>
                <w:sz w:val="22"/>
                <w:szCs w:val="22"/>
                <w:lang w:val="en-US" w:eastAsia="zh-CN"/>
              </w:rPr>
              <w:br w:type="textWrapping"/>
            </w:r>
            <w:r>
              <w:rPr>
                <w:rFonts w:hint="eastAsia" w:ascii="宋体" w:hAnsi="宋体" w:cs="宋体"/>
                <w:color w:val="000000"/>
                <w:sz w:val="22"/>
                <w:szCs w:val="22"/>
                <w:lang w:val="en-US" w:eastAsia="zh-CN"/>
              </w:rPr>
              <w:t>9．参与公司组织的大宗物资招投标、重要经济合同的签订、资产处置和投资等重大经营决策活动。</w:t>
            </w:r>
            <w:r>
              <w:rPr>
                <w:rFonts w:hint="eastAsia" w:ascii="宋体" w:hAnsi="宋体" w:cs="宋体"/>
                <w:color w:val="000000"/>
                <w:sz w:val="22"/>
                <w:szCs w:val="22"/>
                <w:lang w:val="en-US" w:eastAsia="zh-CN"/>
              </w:rPr>
              <w:br w:type="textWrapping"/>
            </w:r>
            <w:r>
              <w:rPr>
                <w:rFonts w:hint="eastAsia" w:ascii="宋体" w:hAnsi="宋体" w:cs="宋体"/>
                <w:color w:val="000000"/>
                <w:sz w:val="22"/>
                <w:szCs w:val="22"/>
                <w:lang w:val="en-US" w:eastAsia="zh-CN"/>
              </w:rPr>
              <w:t>10．贯彻执行公司安保制度，保证部内人身、资金、设备、物资安全完整。</w:t>
            </w:r>
            <w:r>
              <w:rPr>
                <w:rFonts w:hint="eastAsia" w:ascii="宋体" w:hAnsi="宋体" w:cs="宋体"/>
                <w:color w:val="000000"/>
                <w:sz w:val="22"/>
                <w:szCs w:val="22"/>
                <w:lang w:val="en-US" w:eastAsia="zh-CN"/>
              </w:rPr>
              <w:br w:type="textWrapping"/>
            </w:r>
            <w:r>
              <w:rPr>
                <w:rFonts w:hint="eastAsia" w:ascii="宋体" w:hAnsi="宋体" w:cs="宋体"/>
                <w:color w:val="000000"/>
                <w:sz w:val="22"/>
                <w:szCs w:val="22"/>
                <w:lang w:val="en-US" w:eastAsia="zh-CN"/>
              </w:rPr>
              <w:t>11．完成领导临时交办的其它工作。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宋体" w:hAnsi="宋体" w:cs="宋体"/>
                <w:b/>
                <w:bCs/>
                <w:color w:val="000000"/>
                <w:sz w:val="22"/>
                <w:szCs w:val="22"/>
                <w:highlight w:val="none"/>
                <w:u w:val="single"/>
                <w:lang w:val="en-US" w:eastAsia="zh-CN"/>
              </w:rPr>
              <w:t>特别要求：性别不限，有五年以上财务主管</w:t>
            </w:r>
            <w:r>
              <w:rPr>
                <w:rFonts w:hint="eastAsia" w:ascii="宋体" w:hAnsi="宋体" w:cs="宋体"/>
                <w:b/>
                <w:bCs/>
                <w:color w:val="000000"/>
                <w:sz w:val="22"/>
                <w:szCs w:val="22"/>
                <w:highlight w:val="none"/>
                <w:u w:val="single"/>
                <w:em w:val="dot"/>
                <w:lang w:val="en-US" w:eastAsia="zh-CN"/>
              </w:rPr>
              <w:t>管理工作经验</w:t>
            </w:r>
            <w:r>
              <w:rPr>
                <w:rFonts w:hint="eastAsia" w:ascii="宋体" w:hAnsi="宋体" w:cs="宋体"/>
                <w:b/>
                <w:bCs/>
                <w:color w:val="000000"/>
                <w:sz w:val="22"/>
                <w:szCs w:val="22"/>
                <w:highlight w:val="none"/>
                <w:u w:val="single"/>
                <w:lang w:val="en-US" w:eastAsia="zh-CN"/>
              </w:rPr>
              <w:t>者优先，并持有</w:t>
            </w:r>
            <w:r>
              <w:rPr>
                <w:rFonts w:hint="eastAsia" w:ascii="宋体" w:hAnsi="宋体" w:cs="宋体"/>
                <w:b/>
                <w:bCs/>
                <w:color w:val="000000"/>
                <w:sz w:val="22"/>
                <w:szCs w:val="22"/>
                <w:highlight w:val="none"/>
                <w:u w:val="single"/>
                <w:em w:val="dot"/>
                <w:lang w:val="en-US" w:eastAsia="zh-CN"/>
              </w:rPr>
              <w:t>中级及以上会计资格证书</w:t>
            </w:r>
            <w:r>
              <w:rPr>
                <w:rFonts w:hint="eastAsia" w:ascii="宋体" w:hAnsi="宋体" w:cs="宋体"/>
                <w:b w:val="0"/>
                <w:bCs w:val="0"/>
                <w:color w:val="000000"/>
                <w:sz w:val="22"/>
                <w:szCs w:val="22"/>
                <w:highlight w:val="none"/>
                <w:u w:val="single"/>
                <w:lang w:val="en-US" w:eastAsia="zh-CN"/>
              </w:rPr>
              <w:t>。</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464"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广安职业技术学院资产经营有限公司风险管理部</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风险管理部负责人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大学本科以上文化程度或相关专业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不限</w:t>
            </w:r>
          </w:p>
        </w:tc>
        <w:tc>
          <w:tcPr>
            <w:tcW w:w="825"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28岁至45岁</w:t>
            </w:r>
          </w:p>
        </w:tc>
        <w:tc>
          <w:tcPr>
            <w:tcW w:w="810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kern w:val="0"/>
                <w:sz w:val="22"/>
                <w:szCs w:val="22"/>
                <w:shd w:val="clear" w:color="auto" w:fill="FFFFFF"/>
                <w:lang w:val="en-US" w:eastAsia="zh-CN" w:bidi="ar"/>
              </w:rPr>
            </w:pPr>
            <w:r>
              <w:rPr>
                <w:rFonts w:hint="eastAsia" w:asciiTheme="minorEastAsia" w:hAnsiTheme="minorEastAsia" w:eastAsiaTheme="minorEastAsia" w:cstheme="minorEastAsia"/>
                <w:color w:val="333333"/>
                <w:kern w:val="0"/>
                <w:sz w:val="22"/>
                <w:szCs w:val="22"/>
                <w:shd w:val="clear" w:color="auto" w:fill="FFFFFF"/>
                <w:lang w:val="en-US" w:eastAsia="zh-CN" w:bidi="ar"/>
              </w:rPr>
              <w:t>1.认真执行公司投融资政策和国家法律、法规和公司各项制 度规定，按照“依法经营、防控风险、高效便捷、合作共赢”的 经营理念，把好投融资营运初审关；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kern w:val="0"/>
                <w:sz w:val="22"/>
                <w:szCs w:val="22"/>
                <w:shd w:val="clear" w:color="auto" w:fill="FFFFFF"/>
                <w:lang w:val="en-US" w:eastAsia="zh-CN" w:bidi="ar"/>
              </w:rPr>
            </w:pPr>
            <w:r>
              <w:rPr>
                <w:rFonts w:hint="eastAsia" w:asciiTheme="minorEastAsia" w:hAnsiTheme="minorEastAsia" w:eastAsiaTheme="minorEastAsia" w:cstheme="minorEastAsia"/>
                <w:color w:val="333333"/>
                <w:kern w:val="0"/>
                <w:sz w:val="22"/>
                <w:szCs w:val="22"/>
                <w:shd w:val="clear" w:color="auto" w:fill="FFFFFF"/>
                <w:lang w:val="en-US" w:eastAsia="zh-CN" w:bidi="ar"/>
              </w:rPr>
              <w:t>2.负责对各子公司提交的项目资料进行审查，认定并确保项目主体资格、合法、有效、足值、完整；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kern w:val="0"/>
                <w:sz w:val="22"/>
                <w:szCs w:val="22"/>
                <w:shd w:val="clear" w:color="auto" w:fill="FFFFFF"/>
                <w:lang w:val="en-US" w:eastAsia="zh-CN" w:bidi="ar"/>
              </w:rPr>
            </w:pPr>
            <w:r>
              <w:rPr>
                <w:rFonts w:hint="eastAsia" w:asciiTheme="minorEastAsia" w:hAnsiTheme="minorEastAsia" w:eastAsiaTheme="minorEastAsia" w:cstheme="minorEastAsia"/>
                <w:color w:val="333333"/>
                <w:kern w:val="0"/>
                <w:sz w:val="22"/>
                <w:szCs w:val="22"/>
                <w:shd w:val="clear" w:color="auto" w:fill="FFFFFF"/>
                <w:lang w:val="en-US" w:eastAsia="zh-CN" w:bidi="ar"/>
              </w:rPr>
              <w:t>3.对各子公司提交的《调查报告》内容进行综合分析，作出风险评价，将分析情况与各子公司报告所列进行比较，提出审查意见，并将审查意见和结论形成《项目风险评估审查报告》，交部门负责人进行复审；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kern w:val="0"/>
                <w:sz w:val="22"/>
                <w:szCs w:val="22"/>
                <w:shd w:val="clear" w:color="auto" w:fill="FFFFFF"/>
                <w:lang w:val="en-US" w:eastAsia="zh-CN" w:bidi="ar"/>
              </w:rPr>
            </w:pPr>
            <w:r>
              <w:rPr>
                <w:rFonts w:hint="eastAsia" w:asciiTheme="minorEastAsia" w:hAnsiTheme="minorEastAsia" w:eastAsiaTheme="minorEastAsia" w:cstheme="minorEastAsia"/>
                <w:color w:val="333333"/>
                <w:kern w:val="0"/>
                <w:sz w:val="22"/>
                <w:szCs w:val="22"/>
                <w:shd w:val="clear" w:color="auto" w:fill="FFFFFF"/>
                <w:lang w:val="en-US" w:eastAsia="zh-CN" w:bidi="ar"/>
              </w:rPr>
              <w:t>4.负责回答评审人员对风险管控等方面的质疑；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kern w:val="0"/>
                <w:sz w:val="22"/>
                <w:szCs w:val="22"/>
                <w:shd w:val="clear" w:color="auto" w:fill="FFFFFF"/>
                <w:lang w:val="en-US" w:eastAsia="zh-CN" w:bidi="ar"/>
              </w:rPr>
            </w:pPr>
            <w:r>
              <w:rPr>
                <w:rFonts w:hint="eastAsia" w:asciiTheme="minorEastAsia" w:hAnsiTheme="minorEastAsia" w:eastAsiaTheme="minorEastAsia" w:cstheme="minorEastAsia"/>
                <w:color w:val="333333"/>
                <w:kern w:val="0"/>
                <w:sz w:val="22"/>
                <w:szCs w:val="22"/>
                <w:shd w:val="clear" w:color="auto" w:fill="FFFFFF"/>
                <w:lang w:val="en-US" w:eastAsia="zh-CN" w:bidi="ar"/>
              </w:rPr>
              <w:t>5.配合做好项目后续跟踪监督检查，若发现未预见的风险及新出现的风险配合产业发展经理提出防范应对措施并逐级上报；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kern w:val="0"/>
                <w:sz w:val="22"/>
                <w:szCs w:val="22"/>
                <w:shd w:val="clear" w:color="auto" w:fill="FFFFFF"/>
                <w:lang w:val="en-US" w:eastAsia="zh-CN" w:bidi="ar"/>
              </w:rPr>
            </w:pPr>
            <w:r>
              <w:rPr>
                <w:rFonts w:hint="eastAsia" w:asciiTheme="minorEastAsia" w:hAnsiTheme="minorEastAsia" w:eastAsiaTheme="minorEastAsia" w:cstheme="minorEastAsia"/>
                <w:color w:val="333333"/>
                <w:kern w:val="0"/>
                <w:sz w:val="22"/>
                <w:szCs w:val="22"/>
                <w:shd w:val="clear" w:color="auto" w:fill="FFFFFF"/>
                <w:lang w:val="en-US" w:eastAsia="zh-CN" w:bidi="ar"/>
              </w:rPr>
              <w:t>6.负责诉讼事宜，参与风险项目的清收；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kern w:val="0"/>
                <w:sz w:val="22"/>
                <w:szCs w:val="22"/>
                <w:shd w:val="clear" w:color="auto" w:fill="FFFFFF"/>
                <w:lang w:val="en-US" w:eastAsia="zh-CN" w:bidi="ar"/>
              </w:rPr>
            </w:pPr>
            <w:r>
              <w:rPr>
                <w:rFonts w:hint="eastAsia" w:asciiTheme="minorEastAsia" w:hAnsiTheme="minorEastAsia" w:eastAsiaTheme="minorEastAsia" w:cstheme="minorEastAsia"/>
                <w:color w:val="333333"/>
                <w:kern w:val="0"/>
                <w:sz w:val="22"/>
                <w:szCs w:val="22"/>
                <w:shd w:val="clear" w:color="auto" w:fill="FFFFFF"/>
                <w:lang w:val="en-US" w:eastAsia="zh-CN" w:bidi="ar"/>
              </w:rPr>
              <w:t>7.对风险控制的档案资料进行归类、整理、归档、保存；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333333"/>
                <w:kern w:val="0"/>
                <w:sz w:val="22"/>
                <w:szCs w:val="22"/>
                <w:shd w:val="clear" w:color="auto" w:fill="FFFFFF"/>
                <w:lang w:val="en-US" w:eastAsia="zh-CN" w:bidi="ar"/>
              </w:rPr>
            </w:pPr>
            <w:r>
              <w:rPr>
                <w:rFonts w:hint="eastAsia" w:asciiTheme="minorEastAsia" w:hAnsiTheme="minorEastAsia" w:eastAsiaTheme="minorEastAsia" w:cstheme="minorEastAsia"/>
                <w:color w:val="333333"/>
                <w:kern w:val="0"/>
                <w:sz w:val="22"/>
                <w:szCs w:val="22"/>
                <w:shd w:val="clear" w:color="auto" w:fill="FFFFFF"/>
                <w:lang w:val="en-US" w:eastAsia="zh-CN" w:bidi="ar"/>
              </w:rPr>
              <w:t>8.负责项目核销资料复审、初步认定等工作；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333333"/>
                <w:kern w:val="0"/>
                <w:sz w:val="22"/>
                <w:szCs w:val="22"/>
                <w:shd w:val="clear" w:color="auto" w:fill="FFFFFF"/>
                <w:lang w:val="en-US" w:eastAsia="zh-CN" w:bidi="ar"/>
              </w:rPr>
              <w:t>9.完成公司领导交办的其它工作。</w:t>
            </w: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面试</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4124" w:hRule="atLeast"/>
          <w:jc w:val="center"/>
        </w:trPr>
        <w:tc>
          <w:tcPr>
            <w:tcW w:w="410" w:type="dxa"/>
            <w:tcBorders>
              <w:top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四川惠威建设工程有限公司</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负责人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专科或以上学历 </w:t>
            </w:r>
          </w:p>
          <w:p>
            <w:pPr>
              <w:numPr>
                <w:ilvl w:val="0"/>
                <w:numId w:val="0"/>
              </w:numPr>
              <w:ind w:left="0" w:leftChars="0" w:firstLine="0" w:firstLine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需中级以上职称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土木工程、建筑等工程相关专业</w:t>
            </w:r>
          </w:p>
        </w:tc>
        <w:tc>
          <w:tcPr>
            <w:tcW w:w="825"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28岁至40岁</w:t>
            </w:r>
          </w:p>
        </w:tc>
        <w:tc>
          <w:tcPr>
            <w:tcW w:w="8101" w:type="dxa"/>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333333"/>
                <w:kern w:val="0"/>
                <w:sz w:val="21"/>
                <w:szCs w:val="21"/>
                <w:shd w:val="clear" w:color="auto" w:fill="FFFFFF"/>
                <w:lang w:val="en-US" w:eastAsia="zh-CN" w:bidi="ar"/>
              </w:rPr>
            </w:pPr>
            <w:r>
              <w:rPr>
                <w:rFonts w:hint="eastAsia" w:asciiTheme="minorEastAsia" w:hAnsiTheme="minorEastAsia" w:eastAsiaTheme="minorEastAsia" w:cstheme="minorEastAsia"/>
                <w:color w:val="333333"/>
                <w:kern w:val="0"/>
                <w:sz w:val="21"/>
                <w:szCs w:val="21"/>
                <w:shd w:val="clear" w:color="auto" w:fill="FFFFFF"/>
                <w:lang w:val="en-US" w:eastAsia="zh-CN" w:bidi="ar"/>
              </w:rPr>
              <w:t>1.工民建、土木工程、工程管理等相关专业统招本科及以上学历；</w:t>
            </w:r>
            <w:r>
              <w:rPr>
                <w:rFonts w:hint="eastAsia" w:asciiTheme="minorEastAsia" w:hAnsiTheme="minorEastAsia" w:eastAsiaTheme="minorEastAsia" w:cstheme="minorEastAsia"/>
                <w:color w:val="333333"/>
                <w:kern w:val="0"/>
                <w:sz w:val="21"/>
                <w:szCs w:val="21"/>
                <w:shd w:val="clear" w:color="auto" w:fill="FFFFFF"/>
                <w:lang w:val="en-US" w:eastAsia="zh-CN" w:bidi="ar"/>
              </w:rPr>
              <w:br w:type="textWrapping"/>
            </w:r>
            <w:r>
              <w:rPr>
                <w:rFonts w:hint="eastAsia" w:asciiTheme="minorEastAsia" w:hAnsiTheme="minorEastAsia" w:eastAsiaTheme="minorEastAsia" w:cstheme="minorEastAsia"/>
                <w:color w:val="333333"/>
                <w:kern w:val="0"/>
                <w:sz w:val="21"/>
                <w:szCs w:val="21"/>
                <w:shd w:val="clear" w:color="auto" w:fill="FFFFFF"/>
                <w:lang w:val="en-US" w:eastAsia="zh-CN" w:bidi="ar"/>
              </w:rPr>
              <w:t>2.10年以上建筑行业从业经验，5年以上建筑企业管理岗位工作经验；</w:t>
            </w:r>
            <w:r>
              <w:rPr>
                <w:rFonts w:hint="eastAsia" w:asciiTheme="minorEastAsia" w:hAnsiTheme="minorEastAsia" w:eastAsiaTheme="minorEastAsia" w:cstheme="minorEastAsia"/>
                <w:color w:val="333333"/>
                <w:kern w:val="0"/>
                <w:sz w:val="21"/>
                <w:szCs w:val="21"/>
                <w:shd w:val="clear" w:color="auto" w:fill="FFFFFF"/>
                <w:lang w:val="en-US" w:eastAsia="zh-CN" w:bidi="ar"/>
              </w:rPr>
              <w:br w:type="textWrapping"/>
            </w:r>
            <w:r>
              <w:rPr>
                <w:rFonts w:hint="eastAsia" w:asciiTheme="minorEastAsia" w:hAnsiTheme="minorEastAsia" w:eastAsiaTheme="minorEastAsia" w:cstheme="minorEastAsia"/>
                <w:color w:val="333333"/>
                <w:kern w:val="0"/>
                <w:sz w:val="21"/>
                <w:szCs w:val="21"/>
                <w:shd w:val="clear" w:color="auto" w:fill="FFFFFF"/>
                <w:lang w:val="en-US" w:eastAsia="zh-CN" w:bidi="ar"/>
              </w:rPr>
              <w:t>3.有中级以上职称、建造师证书、造价师证书优先；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333333"/>
                <w:kern w:val="0"/>
                <w:sz w:val="21"/>
                <w:szCs w:val="21"/>
                <w:shd w:val="clear" w:color="auto" w:fill="FFFFFF"/>
                <w:lang w:val="en-US" w:eastAsia="zh-CN" w:bidi="ar"/>
              </w:rPr>
            </w:pPr>
            <w:r>
              <w:rPr>
                <w:rFonts w:hint="eastAsia" w:asciiTheme="minorEastAsia" w:hAnsiTheme="minorEastAsia" w:eastAsiaTheme="minorEastAsia" w:cstheme="minorEastAsia"/>
                <w:color w:val="333333"/>
                <w:kern w:val="0"/>
                <w:sz w:val="21"/>
                <w:szCs w:val="21"/>
                <w:shd w:val="clear" w:color="auto" w:fill="FFFFFF"/>
                <w:lang w:val="en-US" w:eastAsia="zh-CN" w:bidi="ar"/>
              </w:rPr>
              <w:t>4.熟悉建筑行业的法律法规、工程管理；熟悉建筑行业、房地产行业领域相关情况；有业务管理，财务管理和企业管理的相关知识；</w:t>
            </w:r>
            <w:r>
              <w:rPr>
                <w:rFonts w:hint="eastAsia" w:asciiTheme="minorEastAsia" w:hAnsiTheme="minorEastAsia" w:eastAsiaTheme="minorEastAsia" w:cstheme="minorEastAsia"/>
                <w:color w:val="333333"/>
                <w:kern w:val="0"/>
                <w:sz w:val="21"/>
                <w:szCs w:val="21"/>
                <w:shd w:val="clear" w:color="auto" w:fill="FFFFFF"/>
                <w:lang w:val="en-US" w:eastAsia="zh-CN" w:bidi="ar"/>
              </w:rPr>
              <w:br w:type="textWrapping"/>
            </w:r>
            <w:r>
              <w:rPr>
                <w:rFonts w:hint="eastAsia" w:asciiTheme="minorEastAsia" w:hAnsiTheme="minorEastAsia" w:eastAsiaTheme="minorEastAsia" w:cstheme="minorEastAsia"/>
                <w:color w:val="333333"/>
                <w:kern w:val="0"/>
                <w:sz w:val="21"/>
                <w:szCs w:val="21"/>
                <w:shd w:val="clear" w:color="auto" w:fill="FFFFFF"/>
                <w:lang w:val="en-US" w:eastAsia="zh-CN" w:bidi="ar"/>
              </w:rPr>
              <w:t>5.人际理解力和沟通协调能力强;团队领导、组织管理、逻辑管理和团队合作能力强；成就导向；具有较强的判断和决策能力；应变能力强；拥有丰富的社会资源和良好的人际关系；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333333"/>
                <w:kern w:val="0"/>
                <w:sz w:val="21"/>
                <w:szCs w:val="21"/>
                <w:shd w:val="clear" w:color="auto" w:fill="FFFFFF"/>
                <w:lang w:val="en-US" w:eastAsia="zh-CN" w:bidi="ar"/>
              </w:rPr>
            </w:pPr>
            <w:r>
              <w:rPr>
                <w:rFonts w:hint="eastAsia" w:asciiTheme="minorEastAsia" w:hAnsiTheme="minorEastAsia" w:eastAsiaTheme="minorEastAsia" w:cstheme="minorEastAsia"/>
                <w:color w:val="333333"/>
                <w:kern w:val="0"/>
                <w:sz w:val="21"/>
                <w:szCs w:val="21"/>
                <w:shd w:val="clear" w:color="auto" w:fill="FFFFFF"/>
                <w:lang w:val="en-US" w:eastAsia="zh-CN" w:bidi="ar"/>
              </w:rPr>
              <w:t>6.良好的口头及书面表达能力，熟练使用办公软件，具备网络应用及企业信息化的一般知识。</w:t>
            </w:r>
          </w:p>
          <w:p>
            <w:pPr>
              <w:numPr>
                <w:ilvl w:val="0"/>
                <w:numId w:val="0"/>
              </w:numPr>
              <w:ind w:left="0" w:leftChars="0" w:firstLine="0" w:firstLineChars="0"/>
              <w:jc w:val="left"/>
              <w:rPr>
                <w:rFonts w:hint="eastAsia" w:asciiTheme="minorEastAsia" w:hAnsiTheme="minorEastAsia" w:eastAsiaTheme="minorEastAsia" w:cstheme="minorEastAsia"/>
                <w:color w:val="000000"/>
                <w:kern w:val="2"/>
                <w:sz w:val="24"/>
                <w:szCs w:val="24"/>
                <w:lang w:val="en-US" w:eastAsia="zh-CN" w:bidi="ar-SA"/>
              </w:rPr>
            </w:pPr>
          </w:p>
        </w:tc>
        <w:tc>
          <w:tcPr>
            <w:tcW w:w="1118" w:type="dxa"/>
            <w:tcBorders>
              <w:top w:val="single" w:color="000000" w:sz="4" w:space="0"/>
              <w:left w:val="single" w:color="000000" w:sz="4" w:space="0"/>
              <w:bottom w:val="single" w:color="000000" w:sz="4" w:space="0"/>
            </w:tcBorders>
            <w:shd w:val="clear" w:color="auto" w:fill="auto"/>
            <w:vAlign w:val="center"/>
          </w:tcPr>
          <w:p>
            <w:pPr>
              <w:numPr>
                <w:ilvl w:val="0"/>
                <w:numId w:val="0"/>
              </w:numPr>
              <w:ind w:left="0" w:leftChars="0" w:firstLine="0" w:firstLine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面试</w:t>
            </w:r>
          </w:p>
        </w:tc>
      </w:tr>
    </w:tbl>
    <w:p>
      <w:pPr>
        <w:numPr>
          <w:ilvl w:val="0"/>
          <w:numId w:val="0"/>
        </w:numPr>
        <w:ind w:left="0" w:leftChars="0" w:firstLine="0" w:firstLineChars="0"/>
        <w:jc w:val="left"/>
        <w:rPr>
          <w:rFonts w:hint="eastAsia" w:ascii="仿宋_GB2312" w:hAnsi="仿宋_GB2312" w:eastAsia="仿宋_GB2312" w:cs="仿宋_GB2312"/>
          <w:color w:val="000000"/>
          <w:sz w:val="24"/>
          <w:szCs w:val="24"/>
          <w:lang w:val="en-US" w:eastAsia="zh-CN"/>
        </w:rPr>
      </w:pPr>
    </w:p>
    <w:sectPr>
      <w:pgSz w:w="16838" w:h="11906" w:orient="landscape"/>
      <w:pgMar w:top="720" w:right="720" w:bottom="720" w:left="72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A4D36"/>
    <w:rsid w:val="00E714C8"/>
    <w:rsid w:val="00F02FF2"/>
    <w:rsid w:val="05190BD8"/>
    <w:rsid w:val="0B3D75C2"/>
    <w:rsid w:val="0BC51652"/>
    <w:rsid w:val="0BE70A9C"/>
    <w:rsid w:val="0BEA67B3"/>
    <w:rsid w:val="0C814B42"/>
    <w:rsid w:val="0DAB0214"/>
    <w:rsid w:val="0ED36218"/>
    <w:rsid w:val="10C8587E"/>
    <w:rsid w:val="11942310"/>
    <w:rsid w:val="129A44A9"/>
    <w:rsid w:val="18C16B53"/>
    <w:rsid w:val="1987470E"/>
    <w:rsid w:val="1BE46FF3"/>
    <w:rsid w:val="20D262DE"/>
    <w:rsid w:val="226A4D36"/>
    <w:rsid w:val="23B94C76"/>
    <w:rsid w:val="2DC33623"/>
    <w:rsid w:val="2EBA6C0E"/>
    <w:rsid w:val="30900340"/>
    <w:rsid w:val="312A32DD"/>
    <w:rsid w:val="32966FC1"/>
    <w:rsid w:val="351111B3"/>
    <w:rsid w:val="3776358E"/>
    <w:rsid w:val="37E743BA"/>
    <w:rsid w:val="3B0C1B52"/>
    <w:rsid w:val="4674787C"/>
    <w:rsid w:val="467D1304"/>
    <w:rsid w:val="4E291FE4"/>
    <w:rsid w:val="501C023B"/>
    <w:rsid w:val="55E46D8C"/>
    <w:rsid w:val="5D115618"/>
    <w:rsid w:val="60E31744"/>
    <w:rsid w:val="61FE6ECB"/>
    <w:rsid w:val="65634A17"/>
    <w:rsid w:val="6C7825FF"/>
    <w:rsid w:val="70A47D1B"/>
    <w:rsid w:val="70C2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2019-03-22T09:43:00Z</dcterms:created>
  <dc:creator>WPS_1528077700</dc:creator>
  <cp:lastModifiedBy>CHUAN</cp:lastModifiedBy>
  <cp:lastPrinted>2019-03-25T06:01:00Z</cp:lastPrinted>
  <dcterms:modified xsi:type="dcterms:W3CDTF">2020-04-26T03:31:56Z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